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5B6B6" w14:textId="77777777" w:rsidR="00CE023B" w:rsidRDefault="00000000">
      <w:pPr>
        <w:jc w:val="center"/>
        <w:rPr>
          <w:b/>
        </w:rPr>
      </w:pPr>
      <w:r>
        <w:rPr>
          <w:b/>
        </w:rPr>
        <w:t xml:space="preserve">Список тем для подготовки к промежуточной аттестации </w:t>
      </w:r>
    </w:p>
    <w:p w14:paraId="6B9F2334" w14:textId="77777777" w:rsidR="00CE023B" w:rsidRDefault="00000000">
      <w:pPr>
        <w:jc w:val="center"/>
        <w:rPr>
          <w:b/>
        </w:rPr>
      </w:pPr>
      <w:r>
        <w:rPr>
          <w:b/>
        </w:rPr>
        <w:t xml:space="preserve">по ПМ.02 «Организация </w:t>
      </w:r>
      <w:proofErr w:type="spellStart"/>
      <w:r>
        <w:rPr>
          <w:b/>
        </w:rPr>
        <w:t>лечебно</w:t>
      </w:r>
      <w:proofErr w:type="spellEnd"/>
      <w:r>
        <w:rPr>
          <w:b/>
        </w:rPr>
        <w:t xml:space="preserve"> – диагностической деятельности»</w:t>
      </w:r>
    </w:p>
    <w:p w14:paraId="53167FD8" w14:textId="77777777" w:rsidR="00CE023B" w:rsidRDefault="00CE023B">
      <w:pPr>
        <w:jc w:val="center"/>
        <w:rPr>
          <w:b/>
        </w:rPr>
      </w:pPr>
    </w:p>
    <w:p w14:paraId="21336859" w14:textId="77777777" w:rsidR="00CE023B" w:rsidRDefault="00000000">
      <w:pPr>
        <w:jc w:val="center"/>
        <w:rPr>
          <w:b/>
        </w:rPr>
      </w:pPr>
      <w:r>
        <w:rPr>
          <w:b/>
        </w:rPr>
        <w:t>Экзамен</w:t>
      </w:r>
    </w:p>
    <w:p w14:paraId="4C36E0DE" w14:textId="77777777" w:rsidR="00CE023B" w:rsidRDefault="00000000">
      <w:pPr>
        <w:jc w:val="center"/>
        <w:rPr>
          <w:b/>
        </w:rPr>
      </w:pPr>
      <w:r>
        <w:rPr>
          <w:b/>
        </w:rPr>
        <w:t xml:space="preserve">МДК.02.01 Диагностика и </w:t>
      </w:r>
      <w:proofErr w:type="gramStart"/>
      <w:r>
        <w:rPr>
          <w:b/>
        </w:rPr>
        <w:t>лечение  заболеваний</w:t>
      </w:r>
      <w:proofErr w:type="gramEnd"/>
      <w:r>
        <w:rPr>
          <w:b/>
        </w:rPr>
        <w:t xml:space="preserve"> терапевтического профиля</w:t>
      </w:r>
    </w:p>
    <w:p w14:paraId="705D89E0" w14:textId="77777777" w:rsidR="00CE023B" w:rsidRDefault="00CE023B">
      <w:pPr>
        <w:jc w:val="center"/>
        <w:rPr>
          <w:b/>
        </w:rPr>
      </w:pPr>
    </w:p>
    <w:p w14:paraId="4F7F3F6D" w14:textId="77777777" w:rsidR="00CE023B" w:rsidRDefault="00CE023B">
      <w:pPr>
        <w:pStyle w:val="ListParagraph1"/>
        <w:tabs>
          <w:tab w:val="left" w:pos="993"/>
        </w:tabs>
        <w:jc w:val="both"/>
      </w:pPr>
    </w:p>
    <w:p w14:paraId="5FB1058C" w14:textId="77777777" w:rsidR="00CE023B" w:rsidRDefault="00000000" w:rsidP="00A5179C">
      <w:pPr>
        <w:pStyle w:val="ListParagraph1"/>
        <w:numPr>
          <w:ilvl w:val="0"/>
          <w:numId w:val="1"/>
        </w:numPr>
        <w:tabs>
          <w:tab w:val="left" w:pos="993"/>
        </w:tabs>
        <w:ind w:left="284"/>
        <w:jc w:val="both"/>
      </w:pPr>
      <w:r>
        <w:t>Субъективные методы обследования пациента. Их значение в постановке диагноза.</w:t>
      </w:r>
    </w:p>
    <w:p w14:paraId="252EBA9B" w14:textId="77777777" w:rsidR="00CE023B" w:rsidRDefault="00000000" w:rsidP="00A5179C">
      <w:pPr>
        <w:pStyle w:val="ListParagraph1"/>
        <w:numPr>
          <w:ilvl w:val="0"/>
          <w:numId w:val="1"/>
        </w:numPr>
        <w:tabs>
          <w:tab w:val="left" w:pos="993"/>
        </w:tabs>
        <w:ind w:left="284"/>
        <w:jc w:val="both"/>
      </w:pPr>
      <w:r>
        <w:t>Объективные методы обследования пациента: осмотр, пальпация, перкуссия, аускультация. Правила проведения. Виды. Их значение в постановке диагноза.</w:t>
      </w:r>
    </w:p>
    <w:p w14:paraId="0CB9919F" w14:textId="77777777" w:rsidR="00CE023B" w:rsidRDefault="00000000" w:rsidP="00A5179C">
      <w:pPr>
        <w:pStyle w:val="ListParagraph1"/>
        <w:numPr>
          <w:ilvl w:val="0"/>
          <w:numId w:val="1"/>
        </w:numPr>
        <w:tabs>
          <w:tab w:val="left" w:pos="993"/>
        </w:tabs>
        <w:ind w:left="284"/>
        <w:jc w:val="both"/>
      </w:pPr>
      <w:r>
        <w:t>Лабораторные методы обследования (общеклинические, биохимические, гистологические, цитологические). Их значение для постановки диагноза.</w:t>
      </w:r>
    </w:p>
    <w:p w14:paraId="461434E9" w14:textId="77777777" w:rsidR="00CE023B" w:rsidRDefault="00000000" w:rsidP="00A5179C">
      <w:pPr>
        <w:pStyle w:val="ListParagraph1"/>
        <w:numPr>
          <w:ilvl w:val="0"/>
          <w:numId w:val="1"/>
        </w:numPr>
        <w:tabs>
          <w:tab w:val="left" w:pos="993"/>
        </w:tabs>
        <w:ind w:left="284"/>
        <w:jc w:val="both"/>
      </w:pPr>
      <w:r>
        <w:t>Виды дополнительных инструментальных методов обследования. Их значение для постановки диагноза.</w:t>
      </w:r>
    </w:p>
    <w:p w14:paraId="103EB8AC" w14:textId="77777777" w:rsidR="00CE023B" w:rsidRDefault="00000000" w:rsidP="00A5179C">
      <w:pPr>
        <w:pStyle w:val="110"/>
        <w:numPr>
          <w:ilvl w:val="0"/>
          <w:numId w:val="1"/>
        </w:numPr>
        <w:tabs>
          <w:tab w:val="left" w:pos="993"/>
        </w:tabs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Эндоскопические методы обследования. Подготовка пациента. Их значение в постановке диагноза.</w:t>
      </w:r>
    </w:p>
    <w:p w14:paraId="513F52C9" w14:textId="77777777" w:rsidR="00CE023B" w:rsidRDefault="00000000" w:rsidP="00A5179C">
      <w:pPr>
        <w:numPr>
          <w:ilvl w:val="0"/>
          <w:numId w:val="1"/>
        </w:numPr>
        <w:ind w:left="284"/>
      </w:pPr>
      <w:r>
        <w:t>Общие и специальные рентгенологические методы обследования. Подготовка пациента.   Их значение в постановке диагноза.</w:t>
      </w:r>
    </w:p>
    <w:p w14:paraId="0557BA9F" w14:textId="4C126BB3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7. Ультразвуковой метод исследования. Подготовка пациента. Его значение в постановке диагноза.</w:t>
      </w:r>
    </w:p>
    <w:p w14:paraId="119F11D3" w14:textId="3A3A049B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8. Метод радиоизотопного сканирования. Подготовка пациента. Его значение в постановке диагноза.</w:t>
      </w:r>
    </w:p>
    <w:p w14:paraId="1E7B77A3" w14:textId="23298F33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9. МРТ. Подготовка пациента. Значение ЯМРТ в постановке диагноза.</w:t>
      </w:r>
    </w:p>
    <w:p w14:paraId="01A97399" w14:textId="21249093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10.Методы функциональной диагностики при заболеваниях органов кровообращения (Холтеровское мониторирование, ВЭМ, ФКГ). Их значение в постановке диагноза.</w:t>
      </w:r>
    </w:p>
    <w:p w14:paraId="5CC45DB7" w14:textId="079BD50B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11. Методы функциональной диагностики при заболеваниях органов дыхания </w:t>
      </w:r>
      <w:proofErr w:type="gramStart"/>
      <w:r>
        <w:t>( спирография</w:t>
      </w:r>
      <w:proofErr w:type="gramEnd"/>
      <w:r>
        <w:t xml:space="preserve">, спирометрия, </w:t>
      </w:r>
      <w:proofErr w:type="spellStart"/>
      <w:r>
        <w:t>пикфлоуметрия</w:t>
      </w:r>
      <w:proofErr w:type="spellEnd"/>
      <w:r>
        <w:t xml:space="preserve">, </w:t>
      </w:r>
      <w:proofErr w:type="spellStart"/>
      <w:r>
        <w:t>пневмотахография</w:t>
      </w:r>
      <w:proofErr w:type="spellEnd"/>
      <w:r>
        <w:t>). Их значение в постановке диагноза.</w:t>
      </w:r>
    </w:p>
    <w:p w14:paraId="744C2AF7" w14:textId="671C64C4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12. Метод электрокардиографии. Подготовка пациента. Стандартные и грудные отведения ЭКГ.  Основные зубцы и интервалы.  Значение ЭКГ в постановке диагноза.</w:t>
      </w:r>
    </w:p>
    <w:p w14:paraId="29194A35" w14:textId="7E8FA0E5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13. Лабораторные методы исследований при заболеваниях органов кровообращения. Их значение в постановке диагноза.</w:t>
      </w:r>
    </w:p>
    <w:p w14:paraId="4A408C20" w14:textId="4752A744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14. Лабораторные методы исследований при заболеваниях печени и ЖВП. Их значение в постановке диагноза.</w:t>
      </w:r>
    </w:p>
    <w:p w14:paraId="294C7C4C" w14:textId="48E7C36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15. Лабораторные методы исследований при заболеваниях органов кроветворения. Диагностическое значение и нормальные показатели общего анализа крови.</w:t>
      </w:r>
    </w:p>
    <w:p w14:paraId="76492CD3" w14:textId="7E402F3D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16.  Лабораторные методы исследований при заболеваниях органов дыхания. Их значение в постановке диагноза.</w:t>
      </w:r>
    </w:p>
    <w:p w14:paraId="704983D9" w14:textId="7F613BC8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17. Лабораторные методы исследований при заболеваниях желудочно-кишечного тракта. Их значение в постановке диагноза.</w:t>
      </w:r>
    </w:p>
    <w:p w14:paraId="4F541CEF" w14:textId="503F54FA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18. Лабораторные методы исследований при заболеваниях почек и МВП. Нормальные показатели анализа мочи. Функциональные пробы мочи. Их значение в постановке диагноза.</w:t>
      </w:r>
    </w:p>
    <w:p w14:paraId="68E6D576" w14:textId="28ABD543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19. Лабораторные методы </w:t>
      </w:r>
      <w:proofErr w:type="gramStart"/>
      <w:r>
        <w:t>исследований  при</w:t>
      </w:r>
      <w:proofErr w:type="gramEnd"/>
      <w:r>
        <w:t xml:space="preserve"> </w:t>
      </w:r>
      <w:proofErr w:type="gramStart"/>
      <w:r>
        <w:t>заболеваниях  эндокринной</w:t>
      </w:r>
      <w:proofErr w:type="gramEnd"/>
      <w:r>
        <w:t xml:space="preserve"> системы. Их значение в постановке диагноза.</w:t>
      </w:r>
    </w:p>
    <w:p w14:paraId="7A980B7F" w14:textId="63212808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20. Инструментальные методы исследований при заболеваниях эндокринной системы. Их значение в постановке диагноза.</w:t>
      </w:r>
    </w:p>
    <w:p w14:paraId="35FDFC1A" w14:textId="0A0999B2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21. Инструментальные методы исследований при заболеваниях печени и ЖВП. Их значение в постановке диагноза.</w:t>
      </w:r>
    </w:p>
    <w:p w14:paraId="6BBD39C0" w14:textId="2D59EC86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22. Инструментальные методы исследований при заболеваниях органов пищеварения. Их значение в постановке диагноза.</w:t>
      </w:r>
    </w:p>
    <w:p w14:paraId="555D5F74" w14:textId="6DD3A69F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23. Инструментальные методы исследований при заболеваниях органов дыхания. Их значение в постановке диагноза.</w:t>
      </w:r>
    </w:p>
    <w:p w14:paraId="7A23C3C6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24. Инструментальные методы </w:t>
      </w:r>
      <w:proofErr w:type="gramStart"/>
      <w:r>
        <w:t>исследований  при</w:t>
      </w:r>
      <w:proofErr w:type="gramEnd"/>
      <w:r>
        <w:t xml:space="preserve"> заболеваниях почек и МВП. Их значение в постановке диагноза.</w:t>
      </w:r>
    </w:p>
    <w:p w14:paraId="491A6C94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lastRenderedPageBreak/>
        <w:t xml:space="preserve">25. Инструментальные методы </w:t>
      </w:r>
      <w:proofErr w:type="gramStart"/>
      <w:r>
        <w:t>исследований  при</w:t>
      </w:r>
      <w:proofErr w:type="gramEnd"/>
      <w:r>
        <w:t xml:space="preserve"> </w:t>
      </w:r>
      <w:proofErr w:type="gramStart"/>
      <w:r>
        <w:t>заболеваниях  органов</w:t>
      </w:r>
      <w:proofErr w:type="gramEnd"/>
      <w:r>
        <w:t xml:space="preserve"> кроветворения. Значение стернальной пункции в постановке диагноза.</w:t>
      </w:r>
    </w:p>
    <w:p w14:paraId="15C4481A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26. Диагностика и лечение острого бронхита. </w:t>
      </w:r>
    </w:p>
    <w:p w14:paraId="260EDB39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27. Диагностика и лечение хронического бронхита.</w:t>
      </w:r>
    </w:p>
    <w:p w14:paraId="22FCE204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28. Диагностика и лечение бронхиальной астмы в приступный и межприступный период. </w:t>
      </w:r>
    </w:p>
    <w:p w14:paraId="5A7771CB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29. Диагностика и лечение бронхопневмонии. </w:t>
      </w:r>
    </w:p>
    <w:p w14:paraId="33555762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30. Диагностика и лечение крупозной пневмонии. </w:t>
      </w:r>
    </w:p>
    <w:p w14:paraId="6C060DE3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31. Диагностика и лечение нагноительных заболеваний легких (абсцесс легкого, БЭБ). </w:t>
      </w:r>
    </w:p>
    <w:p w14:paraId="3F4F9BA6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32. Диагностика и лечение плевритов. </w:t>
      </w:r>
    </w:p>
    <w:p w14:paraId="6C131594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33. Диагностика и лечение острой ревматической лихорадки.  </w:t>
      </w:r>
    </w:p>
    <w:p w14:paraId="332FCCA5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34. Диагностика и лечение приобретенных пороков сердца. </w:t>
      </w:r>
    </w:p>
    <w:p w14:paraId="4BCAB5C6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35. Диагностика и лечение инфекционного эндокардита. </w:t>
      </w:r>
    </w:p>
    <w:p w14:paraId="3AAC52FC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36. Диагностика и лечение миокардита. </w:t>
      </w:r>
    </w:p>
    <w:p w14:paraId="7FF85028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37. Диагностика и лечение перикардита. </w:t>
      </w:r>
    </w:p>
    <w:p w14:paraId="7427FABA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38. Диагностика и лечение атеросклероза. </w:t>
      </w:r>
    </w:p>
    <w:p w14:paraId="3CCA9680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39. Диагностика и лечение артериальной гипертензии. </w:t>
      </w:r>
    </w:p>
    <w:p w14:paraId="42FC79C0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40. Диагностика и лечение ИБС: стабильной стенокардии. </w:t>
      </w:r>
    </w:p>
    <w:p w14:paraId="6AD79F00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41. Диагностика и лечение ИБС: нестабильной стенокардии. </w:t>
      </w:r>
    </w:p>
    <w:p w14:paraId="6CFBC48C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42. Диагностика и лечение ИБС: инфаркта миокарда на догоспитальном и госпитальном этапах. </w:t>
      </w:r>
    </w:p>
    <w:p w14:paraId="11B03150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43. Диагностика и лечение хронической недостаточности кровообращения. </w:t>
      </w:r>
    </w:p>
    <w:p w14:paraId="2F6086AE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44. Диагностика и лечение хронического гастрита (атрофического и не атрофического). </w:t>
      </w:r>
    </w:p>
    <w:p w14:paraId="251B9907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 xml:space="preserve">45. Диагностика и лечение ЯБЖ. </w:t>
      </w:r>
    </w:p>
    <w:p w14:paraId="2ECA76E3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46. Диагностика и лечение хронического панкреатита.</w:t>
      </w:r>
    </w:p>
    <w:p w14:paraId="283FB809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47. Диагностика и лечение синдрома раздраженного кишечника.</w:t>
      </w:r>
    </w:p>
    <w:p w14:paraId="2F83F561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48. Диагностика и лечение ДЖВП.</w:t>
      </w:r>
    </w:p>
    <w:p w14:paraId="74696858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49. Диагностика и лечение хронического не калькулезного холецистита.</w:t>
      </w:r>
    </w:p>
    <w:p w14:paraId="0AD4FD92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50. Диагностика и лечение ЖКБ.</w:t>
      </w:r>
    </w:p>
    <w:p w14:paraId="2810786C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51. Диагностика и лечение гепатита.</w:t>
      </w:r>
    </w:p>
    <w:p w14:paraId="1AE88B6C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52. Диагностика и лечение цирроза печени.</w:t>
      </w:r>
    </w:p>
    <w:p w14:paraId="66396CF3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53. Диагностика и лечение острого и хронического гломерулонефрита.</w:t>
      </w:r>
    </w:p>
    <w:p w14:paraId="44158164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54. Диагностика и лечение острого и хронического пиелонефрита.</w:t>
      </w:r>
    </w:p>
    <w:p w14:paraId="0811AE60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55. Диагностика и лечение острой почечной недостаточности.</w:t>
      </w:r>
    </w:p>
    <w:p w14:paraId="295B5292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56. Диагностика и лечение хронической болезни почек.</w:t>
      </w:r>
    </w:p>
    <w:p w14:paraId="2F7B7FA2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57. Диагностика и лечение мочекаменной болезни.</w:t>
      </w:r>
    </w:p>
    <w:p w14:paraId="2FDC4677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58. Диагностика и лечение диффузного токсического зоба.</w:t>
      </w:r>
    </w:p>
    <w:p w14:paraId="30880A30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59. Диагностика и лечение гипотиреоза.</w:t>
      </w:r>
    </w:p>
    <w:p w14:paraId="6DFBADCC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60. Диагностика и лечение эндемического зоба.</w:t>
      </w:r>
    </w:p>
    <w:p w14:paraId="6B476D8F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61. Диагностика и лечение заболеваний надпочечников.</w:t>
      </w:r>
    </w:p>
    <w:p w14:paraId="2E42E9EE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62. Диагностика и лечение заболеваний гипофиза.</w:t>
      </w:r>
    </w:p>
    <w:p w14:paraId="5815275A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63. Диагностика и лечение сахарного диабета.</w:t>
      </w:r>
    </w:p>
    <w:p w14:paraId="3E938402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64. Диагностика и лечение анемии.</w:t>
      </w:r>
    </w:p>
    <w:p w14:paraId="3C3C122D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65. Диагностика и лечение лейкоза.</w:t>
      </w:r>
    </w:p>
    <w:p w14:paraId="67920CD4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66. Диагностика и лечение геморрагических васкулитов.</w:t>
      </w:r>
    </w:p>
    <w:p w14:paraId="690321F7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67. Диагностика и лечение идиопатической тромбоцитопении.</w:t>
      </w:r>
    </w:p>
    <w:p w14:paraId="383AF1B9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68. Диагностика и лечение подагры.</w:t>
      </w:r>
    </w:p>
    <w:p w14:paraId="48581CC0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69. Диагностика и лечение остеопороза.</w:t>
      </w:r>
    </w:p>
    <w:p w14:paraId="7753C3B8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70. Диагностика и лечение остеоартрита.</w:t>
      </w:r>
    </w:p>
    <w:p w14:paraId="63885F1B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71. Диагностика и лечение ревматоидного полиартрита.</w:t>
      </w:r>
    </w:p>
    <w:p w14:paraId="01B572FE" w14:textId="77777777" w:rsidR="00CE023B" w:rsidRDefault="00000000" w:rsidP="00A5179C">
      <w:pPr>
        <w:pStyle w:val="ListParagraph1"/>
        <w:tabs>
          <w:tab w:val="left" w:pos="993"/>
        </w:tabs>
        <w:ind w:left="284" w:hanging="360"/>
        <w:jc w:val="both"/>
      </w:pPr>
      <w:r>
        <w:t>72. Диагностика и лечение болезней соединительной ткани.</w:t>
      </w:r>
    </w:p>
    <w:p w14:paraId="2F82E406" w14:textId="77777777" w:rsidR="00CE023B" w:rsidRDefault="00CE023B"/>
    <w:sectPr w:rsidR="00CE023B">
      <w:pgSz w:w="11906" w:h="16838"/>
      <w:pgMar w:top="1134" w:right="850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47BEC"/>
    <w:multiLevelType w:val="multilevel"/>
    <w:tmpl w:val="CE762A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880752"/>
    <w:multiLevelType w:val="multilevel"/>
    <w:tmpl w:val="44BEC0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</w:lvl>
  </w:abstractNum>
  <w:num w:numId="1" w16cid:durableId="24528687">
    <w:abstractNumId w:val="1"/>
  </w:num>
  <w:num w:numId="2" w16cid:durableId="921993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23B"/>
    <w:rsid w:val="004A3EB6"/>
    <w:rsid w:val="00A5179C"/>
    <w:rsid w:val="00CE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B232B"/>
  <w15:docId w15:val="{576125AD-D7A1-492D-98ED-3C096CB1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NSimSun" w:hAnsiTheme="minorHAnsi" w:cs="Lucida Sans"/>
        <w:color w:val="000000"/>
        <w:sz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hAnsi="Times New Roman"/>
      <w:sz w:val="24"/>
    </w:rPr>
  </w:style>
  <w:style w:type="paragraph" w:styleId="1">
    <w:name w:val="heading 1"/>
    <w:next w:val="a"/>
    <w:uiPriority w:val="9"/>
    <w:qFormat/>
    <w:pPr>
      <w:spacing w:before="120" w:after="120" w:line="276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 w:line="276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 w:line="276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76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76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10">
    <w:name w:val="Абзац списка1"/>
    <w:link w:val="ListParagraph1"/>
    <w:qFormat/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Endnote">
    <w:name w:val="Endnote"/>
    <w:link w:val="Endnote1"/>
    <w:qFormat/>
    <w:rPr>
      <w:rFonts w:ascii="XO Thames" w:hAnsi="XO Thames"/>
      <w:sz w:val="22"/>
    </w:rPr>
  </w:style>
  <w:style w:type="character" w:customStyle="1" w:styleId="Heading31">
    <w:name w:val="Heading 31"/>
    <w:qFormat/>
    <w:rPr>
      <w:rFonts w:ascii="XO Thames" w:hAnsi="XO Thames"/>
      <w:b/>
      <w:sz w:val="26"/>
    </w:rPr>
  </w:style>
  <w:style w:type="character" w:customStyle="1" w:styleId="11">
    <w:name w:val="Без интервала1"/>
    <w:link w:val="110"/>
    <w:qFormat/>
    <w:rPr>
      <w:rFonts w:ascii="Calibri" w:hAnsi="Calibri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Heading51">
    <w:name w:val="Heading 51"/>
    <w:qFormat/>
    <w:rPr>
      <w:rFonts w:ascii="XO Thames" w:hAnsi="XO Thames"/>
      <w:b/>
      <w:sz w:val="22"/>
    </w:rPr>
  </w:style>
  <w:style w:type="character" w:customStyle="1" w:styleId="Heading11">
    <w:name w:val="Heading 11"/>
    <w:qFormat/>
    <w:rPr>
      <w:rFonts w:ascii="XO Thames" w:hAnsi="XO Thames"/>
      <w:b/>
      <w:sz w:val="32"/>
    </w:rPr>
  </w:style>
  <w:style w:type="character" w:styleId="a3">
    <w:name w:val="Hyperlink"/>
    <w:rPr>
      <w:color w:val="0000FF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link w:val="HeaderandFooter1"/>
    <w:qFormat/>
    <w:rPr>
      <w:rFonts w:ascii="XO Thames" w:hAnsi="XO Thames"/>
      <w:sz w:val="28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Subtitle1">
    <w:name w:val="Subtitle1"/>
    <w:qFormat/>
    <w:rPr>
      <w:rFonts w:ascii="XO Thames" w:hAnsi="XO Thames"/>
      <w:i/>
      <w:sz w:val="24"/>
    </w:rPr>
  </w:style>
  <w:style w:type="character" w:customStyle="1" w:styleId="Title1">
    <w:name w:val="Title1"/>
    <w:qFormat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Pr>
      <w:rFonts w:ascii="XO Thames" w:hAnsi="XO Thames"/>
      <w:b/>
      <w:sz w:val="24"/>
    </w:rPr>
  </w:style>
  <w:style w:type="character" w:customStyle="1" w:styleId="Heading21">
    <w:name w:val="Heading 21"/>
    <w:qFormat/>
    <w:rPr>
      <w:rFonts w:ascii="XO Thames" w:hAnsi="XO Thames"/>
      <w:b/>
      <w:sz w:val="28"/>
    </w:rPr>
  </w:style>
  <w:style w:type="paragraph" w:styleId="a4">
    <w:name w:val="Title"/>
    <w:next w:val="a5"/>
    <w:uiPriority w:val="10"/>
    <w:qFormat/>
    <w:pPr>
      <w:spacing w:before="567" w:after="567" w:line="276" w:lineRule="auto"/>
      <w:jc w:val="center"/>
    </w:pPr>
    <w:rPr>
      <w:rFonts w:ascii="XO Thames" w:hAnsi="XO Thames"/>
      <w:b/>
      <w:caps/>
      <w:sz w:val="40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styleId="a8">
    <w:name w:val="index heading"/>
    <w:basedOn w:val="a"/>
    <w:qFormat/>
    <w:pPr>
      <w:suppressLineNumbers/>
    </w:pPr>
  </w:style>
  <w:style w:type="paragraph" w:styleId="20">
    <w:name w:val="toc 2"/>
    <w:next w:val="a"/>
    <w:uiPriority w:val="39"/>
    <w:pPr>
      <w:spacing w:after="200" w:line="276" w:lineRule="auto"/>
      <w:ind w:left="200"/>
    </w:pPr>
    <w:rPr>
      <w:rFonts w:ascii="XO Thames" w:hAnsi="XO Thames"/>
      <w:sz w:val="28"/>
    </w:rPr>
  </w:style>
  <w:style w:type="paragraph" w:customStyle="1" w:styleId="ListParagraph1">
    <w:name w:val="List Paragraph1"/>
    <w:basedOn w:val="a"/>
    <w:link w:val="10"/>
    <w:qFormat/>
    <w:pPr>
      <w:ind w:left="720"/>
      <w:contextualSpacing/>
    </w:pPr>
  </w:style>
  <w:style w:type="paragraph" w:styleId="40">
    <w:name w:val="toc 4"/>
    <w:next w:val="a"/>
    <w:uiPriority w:val="39"/>
    <w:pPr>
      <w:spacing w:after="200" w:line="276" w:lineRule="auto"/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pPr>
      <w:spacing w:after="200" w:line="276" w:lineRule="auto"/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spacing w:after="200" w:line="276" w:lineRule="auto"/>
      <w:ind w:left="1200"/>
    </w:pPr>
    <w:rPr>
      <w:rFonts w:ascii="XO Thames" w:hAnsi="XO Thames"/>
      <w:sz w:val="28"/>
    </w:rPr>
  </w:style>
  <w:style w:type="paragraph" w:customStyle="1" w:styleId="Endnote1">
    <w:name w:val="Endnote1"/>
    <w:link w:val="Endnote"/>
    <w:qFormat/>
    <w:pPr>
      <w:spacing w:after="200" w:line="276" w:lineRule="auto"/>
      <w:ind w:firstLine="851"/>
      <w:jc w:val="both"/>
    </w:pPr>
    <w:rPr>
      <w:rFonts w:ascii="XO Thames" w:hAnsi="XO Thames"/>
    </w:rPr>
  </w:style>
  <w:style w:type="paragraph" w:customStyle="1" w:styleId="110">
    <w:name w:val="Без интервала11"/>
    <w:link w:val="11"/>
    <w:qFormat/>
  </w:style>
  <w:style w:type="paragraph" w:styleId="30">
    <w:name w:val="toc 3"/>
    <w:next w:val="a"/>
    <w:uiPriority w:val="39"/>
    <w:pPr>
      <w:spacing w:after="200" w:line="276" w:lineRule="auto"/>
      <w:ind w:left="400"/>
    </w:pPr>
    <w:rPr>
      <w:rFonts w:ascii="XO Thames" w:hAnsi="XO Thames"/>
      <w:sz w:val="28"/>
    </w:rPr>
  </w:style>
  <w:style w:type="paragraph" w:customStyle="1" w:styleId="Internetlink">
    <w:name w:val="Internet link"/>
    <w:qFormat/>
    <w:pPr>
      <w:spacing w:after="200" w:line="276" w:lineRule="auto"/>
    </w:pPr>
    <w:rPr>
      <w:rFonts w:ascii="Calibri" w:hAnsi="Calibri"/>
      <w:color w:val="0000FF"/>
      <w:u w:val="single"/>
    </w:rPr>
  </w:style>
  <w:style w:type="paragraph" w:customStyle="1" w:styleId="Footnote1">
    <w:name w:val="Footnote1"/>
    <w:link w:val="Footnote"/>
    <w:qFormat/>
    <w:pPr>
      <w:spacing w:after="200" w:line="276" w:lineRule="auto"/>
      <w:ind w:firstLine="851"/>
      <w:jc w:val="both"/>
    </w:pPr>
    <w:rPr>
      <w:rFonts w:ascii="XO Thames" w:hAnsi="XO Thames"/>
    </w:rPr>
  </w:style>
  <w:style w:type="paragraph" w:styleId="12">
    <w:name w:val="toc 1"/>
    <w:next w:val="a"/>
    <w:uiPriority w:val="39"/>
    <w:pPr>
      <w:spacing w:after="200" w:line="276" w:lineRule="auto"/>
    </w:pPr>
    <w:rPr>
      <w:rFonts w:ascii="XO Thames" w:hAnsi="XO Thames"/>
      <w:b/>
      <w:sz w:val="28"/>
    </w:rPr>
  </w:style>
  <w:style w:type="paragraph" w:customStyle="1" w:styleId="HeaderandFooter1">
    <w:name w:val="Header and Footer1"/>
    <w:link w:val="HeaderandFooter"/>
    <w:qFormat/>
    <w:pPr>
      <w:spacing w:after="200"/>
      <w:jc w:val="both"/>
    </w:pPr>
    <w:rPr>
      <w:rFonts w:ascii="XO Thames" w:hAnsi="XO Thames"/>
      <w:sz w:val="28"/>
    </w:rPr>
  </w:style>
  <w:style w:type="paragraph" w:styleId="9">
    <w:name w:val="toc 9"/>
    <w:next w:val="a"/>
    <w:uiPriority w:val="39"/>
    <w:pPr>
      <w:spacing w:after="200" w:line="276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pPr>
      <w:spacing w:after="200" w:line="276" w:lineRule="auto"/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spacing w:after="200" w:line="276" w:lineRule="auto"/>
      <w:ind w:left="800"/>
    </w:pPr>
    <w:rPr>
      <w:rFonts w:ascii="XO Thames" w:hAnsi="XO Thames"/>
      <w:sz w:val="28"/>
    </w:rPr>
  </w:style>
  <w:style w:type="paragraph" w:customStyle="1" w:styleId="DefaultParagraphFont1">
    <w:name w:val="Default Paragraph Font1"/>
    <w:qFormat/>
    <w:pPr>
      <w:spacing w:after="200" w:line="276" w:lineRule="auto"/>
    </w:pPr>
  </w:style>
  <w:style w:type="paragraph" w:styleId="a9">
    <w:name w:val="Subtitle"/>
    <w:next w:val="a"/>
    <w:uiPriority w:val="11"/>
    <w:qFormat/>
    <w:pPr>
      <w:spacing w:after="200" w:line="276" w:lineRule="auto"/>
      <w:jc w:val="both"/>
    </w:pPr>
    <w:rPr>
      <w:rFonts w:ascii="XO Thames" w:hAnsi="XO Thames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833</Words>
  <Characters>4753</Characters>
  <Application>Microsoft Office Word</Application>
  <DocSecurity>0</DocSecurity>
  <Lines>39</Lines>
  <Paragraphs>11</Paragraphs>
  <ScaleCrop>false</ScaleCrop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Сотруднтк МКСГМУ</cp:lastModifiedBy>
  <cp:revision>2</cp:revision>
  <dcterms:created xsi:type="dcterms:W3CDTF">2002-01-01T04:22:00Z</dcterms:created>
  <dcterms:modified xsi:type="dcterms:W3CDTF">2025-09-09T09:54:00Z</dcterms:modified>
  <dc:language>ru-RU</dc:language>
</cp:coreProperties>
</file>